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25" w:rsidRPr="00850618" w:rsidRDefault="00A37625" w:rsidP="00A37625">
      <w:pPr>
        <w:rPr>
          <w:rFonts w:ascii="Times New Roman" w:hAnsi="Times New Roman" w:cs="Times New Roman"/>
        </w:rPr>
      </w:pPr>
      <w:r w:rsidRPr="00850618">
        <w:rPr>
          <w:rFonts w:ascii="Times New Roman" w:hAnsi="Times New Roman" w:cs="Times New Roman"/>
        </w:rPr>
        <w:t>Принято</w:t>
      </w:r>
      <w:proofErr w:type="gramStart"/>
      <w:r w:rsidRPr="00850618">
        <w:rPr>
          <w:rFonts w:ascii="Times New Roman" w:hAnsi="Times New Roman" w:cs="Times New Roman"/>
        </w:rPr>
        <w:t xml:space="preserve">                                                                                                                    У</w:t>
      </w:r>
      <w:proofErr w:type="gramEnd"/>
      <w:r w:rsidRPr="00850618">
        <w:rPr>
          <w:rFonts w:ascii="Times New Roman" w:hAnsi="Times New Roman" w:cs="Times New Roman"/>
        </w:rPr>
        <w:t xml:space="preserve">тверждаю </w:t>
      </w:r>
    </w:p>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Педагогическим советом                       </w:t>
      </w:r>
      <w:r w:rsidR="00F11007">
        <w:rPr>
          <w:rFonts w:ascii="Times New Roman" w:hAnsi="Times New Roman" w:cs="Times New Roman"/>
        </w:rPr>
        <w:t xml:space="preserve">                      </w:t>
      </w:r>
      <w:r w:rsidR="00633066">
        <w:rPr>
          <w:rFonts w:ascii="Times New Roman" w:hAnsi="Times New Roman" w:cs="Times New Roman"/>
        </w:rPr>
        <w:t xml:space="preserve">Директор школы </w:t>
      </w:r>
      <w:r w:rsidRPr="00850618">
        <w:rPr>
          <w:rFonts w:ascii="Times New Roman" w:hAnsi="Times New Roman" w:cs="Times New Roman"/>
        </w:rPr>
        <w:t>МКОУ «</w:t>
      </w:r>
      <w:proofErr w:type="spellStart"/>
      <w:r w:rsidR="00633066">
        <w:rPr>
          <w:rFonts w:ascii="Times New Roman" w:hAnsi="Times New Roman" w:cs="Times New Roman"/>
        </w:rPr>
        <w:t>Сагад</w:t>
      </w:r>
      <w:r w:rsidR="00F11007">
        <w:rPr>
          <w:rFonts w:ascii="Times New Roman" w:hAnsi="Times New Roman" w:cs="Times New Roman"/>
        </w:rPr>
        <w:t>инская</w:t>
      </w:r>
      <w:proofErr w:type="spellEnd"/>
      <w:r w:rsidR="00F11007">
        <w:rPr>
          <w:rFonts w:ascii="Times New Roman" w:hAnsi="Times New Roman" w:cs="Times New Roman"/>
        </w:rPr>
        <w:t xml:space="preserve"> </w:t>
      </w:r>
      <w:r w:rsidRPr="00850618">
        <w:rPr>
          <w:rFonts w:ascii="Times New Roman" w:hAnsi="Times New Roman" w:cs="Times New Roman"/>
        </w:rPr>
        <w:t xml:space="preserve"> СОШ»</w:t>
      </w:r>
    </w:p>
    <w:p w:rsidR="00A37625" w:rsidRPr="00850618" w:rsidRDefault="00F11007" w:rsidP="00A37625">
      <w:pPr>
        <w:rPr>
          <w:rFonts w:ascii="Times New Roman" w:hAnsi="Times New Roman" w:cs="Times New Roman"/>
        </w:rPr>
      </w:pPr>
      <w:r w:rsidRPr="00850618">
        <w:rPr>
          <w:rFonts w:ascii="Times New Roman" w:hAnsi="Times New Roman" w:cs="Times New Roman"/>
        </w:rPr>
        <w:t>МКОУ «</w:t>
      </w:r>
      <w:proofErr w:type="spellStart"/>
      <w:r w:rsidR="00633066">
        <w:rPr>
          <w:rFonts w:ascii="Times New Roman" w:hAnsi="Times New Roman" w:cs="Times New Roman"/>
        </w:rPr>
        <w:t>Сагад</w:t>
      </w:r>
      <w:r>
        <w:rPr>
          <w:rFonts w:ascii="Times New Roman" w:hAnsi="Times New Roman" w:cs="Times New Roman"/>
        </w:rPr>
        <w:t>инская</w:t>
      </w:r>
      <w:proofErr w:type="spellEnd"/>
      <w:r>
        <w:rPr>
          <w:rFonts w:ascii="Times New Roman" w:hAnsi="Times New Roman" w:cs="Times New Roman"/>
        </w:rPr>
        <w:t xml:space="preserve"> </w:t>
      </w:r>
      <w:r w:rsidRPr="00850618">
        <w:rPr>
          <w:rFonts w:ascii="Times New Roman" w:hAnsi="Times New Roman" w:cs="Times New Roman"/>
        </w:rPr>
        <w:t xml:space="preserve"> СОШ»</w:t>
      </w:r>
      <w:r w:rsidR="00A37625" w:rsidRPr="00850618">
        <w:rPr>
          <w:rFonts w:ascii="Times New Roman" w:hAnsi="Times New Roman" w:cs="Times New Roman"/>
        </w:rPr>
        <w:t xml:space="preserve">               </w:t>
      </w:r>
      <w:r>
        <w:rPr>
          <w:rFonts w:ascii="Times New Roman" w:hAnsi="Times New Roman" w:cs="Times New Roman"/>
        </w:rPr>
        <w:t xml:space="preserve">                                       </w:t>
      </w:r>
      <w:r w:rsidR="00A37625">
        <w:rPr>
          <w:rFonts w:ascii="Times New Roman" w:hAnsi="Times New Roman" w:cs="Times New Roman"/>
        </w:rPr>
        <w:t>________</w:t>
      </w:r>
      <w:proofErr w:type="spellStart"/>
      <w:r w:rsidR="00633066">
        <w:rPr>
          <w:rFonts w:ascii="Times New Roman" w:hAnsi="Times New Roman" w:cs="Times New Roman"/>
        </w:rPr>
        <w:t>О.К.Гасанов</w:t>
      </w:r>
      <w:proofErr w:type="spellEnd"/>
    </w:p>
    <w:p w:rsidR="00A37625" w:rsidRPr="00850618" w:rsidRDefault="00F11007" w:rsidP="00A37625">
      <w:pPr>
        <w:rPr>
          <w:rFonts w:ascii="Times New Roman" w:hAnsi="Times New Roman" w:cs="Times New Roman"/>
        </w:rPr>
      </w:pPr>
      <w:r>
        <w:rPr>
          <w:rFonts w:ascii="Times New Roman" w:hAnsi="Times New Roman" w:cs="Times New Roman"/>
        </w:rPr>
        <w:t>Протокол №</w:t>
      </w:r>
      <w:r w:rsidR="00A37625">
        <w:rPr>
          <w:rFonts w:ascii="Times New Roman" w:hAnsi="Times New Roman" w:cs="Times New Roman"/>
        </w:rPr>
        <w:t>1</w:t>
      </w:r>
      <w:r>
        <w:rPr>
          <w:rFonts w:ascii="Times New Roman" w:hAnsi="Times New Roman" w:cs="Times New Roman"/>
        </w:rPr>
        <w:t xml:space="preserve"> от 31. </w:t>
      </w:r>
      <w:r w:rsidR="00A37625">
        <w:rPr>
          <w:rFonts w:ascii="Times New Roman" w:hAnsi="Times New Roman" w:cs="Times New Roman"/>
        </w:rPr>
        <w:t>08</w:t>
      </w:r>
      <w:r>
        <w:rPr>
          <w:rFonts w:ascii="Times New Roman" w:hAnsi="Times New Roman" w:cs="Times New Roman"/>
        </w:rPr>
        <w:t xml:space="preserve">. </w:t>
      </w:r>
      <w:r w:rsidR="00A37625" w:rsidRPr="00850618">
        <w:rPr>
          <w:rFonts w:ascii="Times New Roman" w:hAnsi="Times New Roman" w:cs="Times New Roman"/>
        </w:rPr>
        <w:t xml:space="preserve">2020г                                          </w:t>
      </w:r>
      <w:r>
        <w:rPr>
          <w:rFonts w:ascii="Times New Roman" w:hAnsi="Times New Roman" w:cs="Times New Roman"/>
        </w:rPr>
        <w:t xml:space="preserve">                Приказ №01/___</w:t>
      </w:r>
      <w:r w:rsidR="00A37625">
        <w:rPr>
          <w:rFonts w:ascii="Times New Roman" w:hAnsi="Times New Roman" w:cs="Times New Roman"/>
        </w:rPr>
        <w:t>от 31</w:t>
      </w:r>
      <w:r w:rsidR="00A37625" w:rsidRPr="00850618">
        <w:rPr>
          <w:rFonts w:ascii="Times New Roman" w:hAnsi="Times New Roman" w:cs="Times New Roman"/>
        </w:rPr>
        <w:t xml:space="preserve"> 08.2020г</w:t>
      </w:r>
    </w:p>
    <w:p w:rsidR="006447DA" w:rsidRDefault="006447DA" w:rsidP="006447DA">
      <w:pPr>
        <w:pStyle w:val="a4"/>
        <w:widowControl/>
        <w:spacing w:before="28" w:after="28"/>
        <w:ind w:left="-284"/>
        <w:jc w:val="both"/>
        <w:rPr>
          <w:noProof/>
          <w:lang w:bidi="ar-SA"/>
        </w:rPr>
      </w:pPr>
    </w:p>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Default="00A37625"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Положение</w:t>
      </w: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 xml:space="preserve">о </w:t>
      </w:r>
      <w:proofErr w:type="spellStart"/>
      <w:r w:rsidRPr="00A37625">
        <w:rPr>
          <w:rFonts w:ascii="Times New Roman" w:eastAsia="Times New Roman" w:hAnsi="Times New Roman" w:cs="Times New Roman"/>
          <w:b/>
          <w:bCs/>
          <w:color w:val="auto"/>
          <w:sz w:val="36"/>
          <w:szCs w:val="28"/>
          <w:lang w:bidi="ar-SA"/>
        </w:rPr>
        <w:t>бракеражной</w:t>
      </w:r>
      <w:proofErr w:type="spellEnd"/>
      <w:r w:rsidRPr="00A37625">
        <w:rPr>
          <w:rFonts w:ascii="Times New Roman" w:eastAsia="Times New Roman" w:hAnsi="Times New Roman" w:cs="Times New Roman"/>
          <w:b/>
          <w:bCs/>
          <w:color w:val="auto"/>
          <w:sz w:val="36"/>
          <w:szCs w:val="28"/>
          <w:lang w:bidi="ar-SA"/>
        </w:rPr>
        <w:t xml:space="preserve"> комиссии МКОУ «</w:t>
      </w:r>
      <w:proofErr w:type="spellStart"/>
      <w:r w:rsidR="00633066">
        <w:rPr>
          <w:rFonts w:ascii="Times New Roman" w:eastAsia="Times New Roman" w:hAnsi="Times New Roman" w:cs="Times New Roman"/>
          <w:b/>
          <w:bCs/>
          <w:color w:val="auto"/>
          <w:sz w:val="36"/>
          <w:szCs w:val="28"/>
          <w:lang w:bidi="ar-SA"/>
        </w:rPr>
        <w:t>Сагад</w:t>
      </w:r>
      <w:bookmarkStart w:id="0" w:name="_GoBack"/>
      <w:bookmarkEnd w:id="0"/>
      <w:r w:rsidR="00F11007">
        <w:rPr>
          <w:rFonts w:ascii="Times New Roman" w:eastAsia="Times New Roman" w:hAnsi="Times New Roman" w:cs="Times New Roman"/>
          <w:b/>
          <w:bCs/>
          <w:color w:val="auto"/>
          <w:sz w:val="36"/>
          <w:szCs w:val="28"/>
          <w:lang w:bidi="ar-SA"/>
        </w:rPr>
        <w:t>инская</w:t>
      </w:r>
      <w:proofErr w:type="spellEnd"/>
      <w:r w:rsidRPr="00A37625">
        <w:rPr>
          <w:rFonts w:ascii="Times New Roman" w:eastAsia="Times New Roman" w:hAnsi="Times New Roman" w:cs="Times New Roman"/>
          <w:b/>
          <w:bCs/>
          <w:color w:val="auto"/>
          <w:sz w:val="36"/>
          <w:szCs w:val="28"/>
          <w:lang w:bidi="ar-SA"/>
        </w:rPr>
        <w:t xml:space="preserve"> СОШ»</w:t>
      </w:r>
    </w:p>
    <w:p w:rsidR="00A37625" w:rsidRPr="005663B7" w:rsidRDefault="00A37625" w:rsidP="005663B7">
      <w:pPr>
        <w:widowControl/>
        <w:spacing w:before="28" w:after="28"/>
        <w:jc w:val="both"/>
        <w:rPr>
          <w:rFonts w:ascii="Times New Roman" w:eastAsia="Times New Roman" w:hAnsi="Times New Roman" w:cs="Times New Roman"/>
          <w:bCs/>
          <w:color w:val="auto"/>
          <w:sz w:val="28"/>
          <w:szCs w:val="28"/>
          <w:lang w:bidi="ar-SA"/>
        </w:rPr>
      </w:pPr>
    </w:p>
    <w:p w:rsidR="00ED328E" w:rsidRDefault="00ED328E" w:rsidP="005663B7">
      <w:pPr>
        <w:pStyle w:val="a7"/>
        <w:shd w:val="clear" w:color="auto" w:fill="FFFFFF"/>
        <w:spacing w:before="33" w:beforeAutospacing="0" w:after="33" w:afterAutospacing="0"/>
        <w:jc w:val="center"/>
        <w:rPr>
          <w:rFonts w:ascii="Verdana" w:hAnsi="Verdana"/>
          <w:color w:val="000000"/>
          <w:sz w:val="22"/>
          <w:szCs w:val="22"/>
        </w:rPr>
      </w:pPr>
      <w:r>
        <w:rPr>
          <w:rFonts w:ascii="Verdana" w:hAnsi="Verdana"/>
          <w:b/>
          <w:bCs/>
          <w:color w:val="000000"/>
          <w:sz w:val="28"/>
          <w:szCs w:val="28"/>
        </w:rPr>
        <w:t>I. Общее положение </w:t>
      </w:r>
    </w:p>
    <w:p w:rsidR="00ED328E" w:rsidRDefault="00ED328E" w:rsidP="00ED328E">
      <w:pPr>
        <w:pStyle w:val="default"/>
        <w:shd w:val="clear" w:color="auto" w:fill="FFFFFF"/>
        <w:spacing w:before="33" w:beforeAutospacing="0" w:after="33" w:afterAutospacing="0"/>
        <w:rPr>
          <w:rFonts w:ascii="Verdana" w:hAnsi="Verdana"/>
          <w:color w:val="000000"/>
          <w:sz w:val="22"/>
          <w:szCs w:val="22"/>
        </w:rPr>
      </w:pPr>
      <w:r>
        <w:rPr>
          <w:rFonts w:ascii="Verdana" w:hAnsi="Verdana"/>
          <w:color w:val="000000"/>
          <w:sz w:val="22"/>
          <w:szCs w:val="22"/>
        </w:rPr>
        <w:t> </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1.1. Основные задачи </w:t>
      </w:r>
      <w:proofErr w:type="spellStart"/>
      <w:r w:rsidRPr="00ED328E">
        <w:rPr>
          <w:color w:val="000000"/>
          <w:sz w:val="28"/>
          <w:szCs w:val="28"/>
        </w:rPr>
        <w:t>бракеражной</w:t>
      </w:r>
      <w:proofErr w:type="spellEnd"/>
      <w:r w:rsidRPr="00ED328E">
        <w:rPr>
          <w:color w:val="000000"/>
          <w:sz w:val="28"/>
          <w:szCs w:val="28"/>
        </w:rPr>
        <w:t xml:space="preserve"> комиссии:</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пищевых отравлений.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желудочно-кишечных заболеваний.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proofErr w:type="gramStart"/>
      <w:r w:rsidRPr="00ED328E">
        <w:rPr>
          <w:color w:val="000000"/>
          <w:sz w:val="28"/>
          <w:szCs w:val="28"/>
        </w:rPr>
        <w:t>Контроль за</w:t>
      </w:r>
      <w:proofErr w:type="gramEnd"/>
      <w:r w:rsidRPr="00ED328E">
        <w:rPr>
          <w:color w:val="000000"/>
          <w:sz w:val="28"/>
          <w:szCs w:val="28"/>
        </w:rPr>
        <w:t xml:space="preserve"> соблюдением технологии приготовления пищи.</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Расширение ассортиментного перечня блюд, организация полноценного питания.</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1.2. </w:t>
      </w:r>
      <w:proofErr w:type="spellStart"/>
      <w:r w:rsidRPr="00ED328E">
        <w:rPr>
          <w:color w:val="000000"/>
          <w:sz w:val="28"/>
          <w:szCs w:val="28"/>
        </w:rPr>
        <w:t>Бракеражная</w:t>
      </w:r>
      <w:proofErr w:type="spellEnd"/>
      <w:r w:rsidRPr="00ED328E">
        <w:rPr>
          <w:color w:val="000000"/>
          <w:sz w:val="28"/>
          <w:szCs w:val="28"/>
        </w:rPr>
        <w:t xml:space="preserve"> комиссия в своей деятельности руководствуется требованиями СанПиН 2.4.5.2409-08, СанПиН 2.6.1. 2802-10, сборниками рецептур, технологическими картами, настоящим Положением.</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1.3. Настоящее Положение разработано в целях усиления </w:t>
      </w:r>
      <w:proofErr w:type="gramStart"/>
      <w:r w:rsidRPr="00ED328E">
        <w:rPr>
          <w:color w:val="000000"/>
          <w:sz w:val="28"/>
          <w:szCs w:val="28"/>
        </w:rPr>
        <w:t>контроля за</w:t>
      </w:r>
      <w:proofErr w:type="gramEnd"/>
      <w:r w:rsidRPr="00ED328E">
        <w:rPr>
          <w:color w:val="000000"/>
          <w:sz w:val="28"/>
          <w:szCs w:val="28"/>
        </w:rPr>
        <w:t xml:space="preserve"> качеством питания в школе.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школы на начало учебного года.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  1.4. </w:t>
      </w:r>
      <w:proofErr w:type="spellStart"/>
      <w:r w:rsidRPr="00ED328E">
        <w:rPr>
          <w:color w:val="000000"/>
          <w:sz w:val="28"/>
          <w:szCs w:val="28"/>
        </w:rPr>
        <w:t>Бракеражная</w:t>
      </w:r>
      <w:proofErr w:type="spellEnd"/>
      <w:r w:rsidRPr="00ED328E">
        <w:rPr>
          <w:color w:val="000000"/>
          <w:sz w:val="28"/>
          <w:szCs w:val="28"/>
        </w:rPr>
        <w:t xml:space="preserve"> комиссия осуществляет </w:t>
      </w:r>
      <w:proofErr w:type="gramStart"/>
      <w:r w:rsidRPr="00ED328E">
        <w:rPr>
          <w:color w:val="000000"/>
          <w:sz w:val="28"/>
          <w:szCs w:val="28"/>
        </w:rPr>
        <w:t>контроль за</w:t>
      </w:r>
      <w:proofErr w:type="gramEnd"/>
      <w:r w:rsidRPr="00ED328E">
        <w:rPr>
          <w:color w:val="000000"/>
          <w:sz w:val="28"/>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Выдачу готовой пищи следует проводить только после снятия пробы и записи в </w:t>
      </w:r>
      <w:proofErr w:type="spellStart"/>
      <w:r w:rsidRPr="00ED328E">
        <w:rPr>
          <w:color w:val="000000"/>
          <w:sz w:val="28"/>
          <w:szCs w:val="28"/>
        </w:rPr>
        <w:t>бракеражном</w:t>
      </w:r>
      <w:proofErr w:type="spellEnd"/>
      <w:r w:rsidRPr="00ED328E">
        <w:rPr>
          <w:color w:val="000000"/>
          <w:sz w:val="28"/>
          <w:szCs w:val="2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1.5. </w:t>
      </w:r>
      <w:proofErr w:type="spellStart"/>
      <w:r w:rsidRPr="00ED328E">
        <w:rPr>
          <w:color w:val="000000"/>
          <w:sz w:val="28"/>
          <w:szCs w:val="28"/>
        </w:rPr>
        <w:t>Бракеражный</w:t>
      </w:r>
      <w:proofErr w:type="spellEnd"/>
      <w:r w:rsidRPr="00ED328E">
        <w:rPr>
          <w:color w:val="000000"/>
          <w:sz w:val="28"/>
          <w:szCs w:val="28"/>
        </w:rPr>
        <w:t xml:space="preserve"> журнал должен быть пронумерован, прошнурован и скреплен печатью; хранится </w:t>
      </w:r>
      <w:proofErr w:type="spellStart"/>
      <w:r w:rsidRPr="00ED328E">
        <w:rPr>
          <w:color w:val="000000"/>
          <w:sz w:val="28"/>
          <w:szCs w:val="28"/>
        </w:rPr>
        <w:t>бракеражный</w:t>
      </w:r>
      <w:proofErr w:type="spellEnd"/>
      <w:r w:rsidRPr="00ED328E">
        <w:rPr>
          <w:color w:val="000000"/>
          <w:sz w:val="28"/>
          <w:szCs w:val="28"/>
        </w:rPr>
        <w:t xml:space="preserve"> журнал у заведующего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 </w:t>
      </w:r>
      <w:proofErr w:type="spellStart"/>
      <w:r w:rsidRPr="00ED328E">
        <w:rPr>
          <w:color w:val="000000"/>
          <w:sz w:val="28"/>
          <w:szCs w:val="28"/>
        </w:rPr>
        <w:t>бракеражном</w:t>
      </w:r>
      <w:proofErr w:type="spellEnd"/>
      <w:r w:rsidRPr="00ED328E">
        <w:rPr>
          <w:color w:val="000000"/>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ED328E">
        <w:rPr>
          <w:color w:val="000000"/>
          <w:sz w:val="28"/>
          <w:szCs w:val="28"/>
        </w:rPr>
        <w:t>бракеражной</w:t>
      </w:r>
      <w:proofErr w:type="spellEnd"/>
      <w:r w:rsidRPr="00ED328E">
        <w:rPr>
          <w:color w:val="000000"/>
          <w:sz w:val="28"/>
          <w:szCs w:val="28"/>
        </w:rPr>
        <w:t xml:space="preserve"> комиссии, заведующий столовой и повара, приготовляющие продукцию.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t xml:space="preserve">2. Порядок создания </w:t>
      </w:r>
      <w:proofErr w:type="spellStart"/>
      <w:r w:rsidRPr="00ED328E">
        <w:rPr>
          <w:b/>
          <w:bCs/>
          <w:color w:val="000000"/>
          <w:sz w:val="28"/>
          <w:szCs w:val="28"/>
        </w:rPr>
        <w:t>бракеражной</w:t>
      </w:r>
      <w:proofErr w:type="spellEnd"/>
      <w:r w:rsidRPr="00ED328E">
        <w:rPr>
          <w:b/>
          <w:bCs/>
          <w:color w:val="000000"/>
          <w:sz w:val="28"/>
          <w:szCs w:val="28"/>
        </w:rPr>
        <w:t xml:space="preserve"> </w:t>
      </w:r>
      <w:proofErr w:type="spellStart"/>
      <w:r w:rsidRPr="00ED328E">
        <w:rPr>
          <w:b/>
          <w:bCs/>
          <w:color w:val="000000"/>
          <w:sz w:val="28"/>
          <w:szCs w:val="28"/>
        </w:rPr>
        <w:t>комисии</w:t>
      </w:r>
      <w:proofErr w:type="spellEnd"/>
      <w:r w:rsidRPr="00ED328E">
        <w:rPr>
          <w:b/>
          <w:bCs/>
          <w:color w:val="000000"/>
          <w:sz w:val="28"/>
          <w:szCs w:val="28"/>
        </w:rPr>
        <w:t xml:space="preserve"> и ее состав</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2.1.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Состав комиссии, сроки ее полномочий оговариваются в приказе.</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2.2. </w:t>
      </w:r>
      <w:proofErr w:type="spellStart"/>
      <w:r w:rsidRPr="00ED328E">
        <w:rPr>
          <w:color w:val="000000"/>
          <w:sz w:val="28"/>
          <w:szCs w:val="28"/>
        </w:rPr>
        <w:t>Бракеражная</w:t>
      </w:r>
      <w:proofErr w:type="spellEnd"/>
      <w:r w:rsidRPr="00ED328E">
        <w:rPr>
          <w:color w:val="000000"/>
          <w:sz w:val="28"/>
          <w:szCs w:val="28"/>
        </w:rPr>
        <w:t xml:space="preserve"> комиссии состоит из 3-4 членов. В состав комиссии входят:</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заместитель директора  (председатель комиссии);</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lastRenderedPageBreak/>
        <w:t>медицинская сестра;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сотрудник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2.3. В необходимых случаях в состав </w:t>
      </w:r>
      <w:proofErr w:type="spellStart"/>
      <w:r w:rsidRPr="00ED328E">
        <w:rPr>
          <w:color w:val="000000"/>
          <w:sz w:val="28"/>
          <w:szCs w:val="28"/>
        </w:rPr>
        <w:t>бракеражной</w:t>
      </w:r>
      <w:proofErr w:type="spellEnd"/>
      <w:r w:rsidRPr="00ED328E">
        <w:rPr>
          <w:color w:val="000000"/>
          <w:sz w:val="28"/>
          <w:szCs w:val="28"/>
        </w:rPr>
        <w:t xml:space="preserve"> комиссии могут быть включены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другие работники школы.</w:t>
      </w:r>
    </w:p>
    <w:p w:rsidR="00ED328E" w:rsidRPr="005663B7" w:rsidRDefault="00ED328E" w:rsidP="005663B7">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2.4. Деятельность </w:t>
      </w:r>
      <w:proofErr w:type="spellStart"/>
      <w:r w:rsidRPr="00ED328E">
        <w:rPr>
          <w:color w:val="000000"/>
          <w:sz w:val="28"/>
          <w:szCs w:val="28"/>
        </w:rPr>
        <w:t>бракеражной</w:t>
      </w:r>
      <w:proofErr w:type="spellEnd"/>
      <w:r w:rsidRPr="00ED328E">
        <w:rPr>
          <w:color w:val="000000"/>
          <w:sz w:val="28"/>
          <w:szCs w:val="28"/>
        </w:rPr>
        <w:t xml:space="preserve"> комиссии регламентируется настоящим Положением,</w:t>
      </w:r>
      <w:r w:rsidR="00791F90">
        <w:rPr>
          <w:color w:val="000000"/>
          <w:sz w:val="22"/>
          <w:szCs w:val="22"/>
        </w:rPr>
        <w:t xml:space="preserve"> </w:t>
      </w:r>
      <w:r w:rsidRPr="00ED328E">
        <w:rPr>
          <w:color w:val="000000"/>
          <w:sz w:val="28"/>
          <w:szCs w:val="28"/>
        </w:rPr>
        <w:t>которое утверждается директором.</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медицинский работник;</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работник хозяйственной части</w:t>
      </w:r>
      <w:r>
        <w:rPr>
          <w:rFonts w:ascii="Times New Roman" w:eastAsia="Times New Roman" w:hAnsi="Times New Roman" w:cs="Times New Roman"/>
          <w:bCs/>
          <w:color w:val="auto"/>
          <w:sz w:val="28"/>
          <w:szCs w:val="28"/>
          <w:lang w:bidi="ar-SA"/>
        </w:rPr>
        <w:t>.</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967804" w:rsidRDefault="00ED328E" w:rsidP="00ED328E">
      <w:pPr>
        <w:pStyle w:val="a4"/>
        <w:widowControl/>
        <w:spacing w:before="28" w:after="28"/>
        <w:rPr>
          <w:rFonts w:ascii="Times New Roman" w:eastAsia="Times New Roman" w:hAnsi="Times New Roman" w:cs="Times New Roman"/>
          <w:b/>
          <w:color w:val="auto"/>
          <w:sz w:val="28"/>
          <w:szCs w:val="28"/>
          <w:lang w:bidi="ar-SA"/>
        </w:rPr>
      </w:pPr>
      <w:r>
        <w:rPr>
          <w:rFonts w:ascii="Times New Roman" w:eastAsia="Times New Roman" w:hAnsi="Times New Roman" w:cs="Times New Roman"/>
          <w:b/>
          <w:bCs/>
          <w:color w:val="auto"/>
          <w:sz w:val="28"/>
          <w:szCs w:val="28"/>
          <w:lang w:bidi="ar-SA"/>
        </w:rPr>
        <w:t>3.</w:t>
      </w:r>
      <w:r w:rsidR="00B56AEA" w:rsidRPr="00E16CB1">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E16CB1" w:rsidRDefault="00B56AEA" w:rsidP="00E16CB1">
      <w:pPr>
        <w:pStyle w:val="a4"/>
        <w:widowControl/>
        <w:numPr>
          <w:ilvl w:val="1"/>
          <w:numId w:val="7"/>
        </w:numPr>
        <w:spacing w:before="28" w:after="28"/>
        <w:ind w:left="0" w:firstLine="0"/>
        <w:jc w:val="both"/>
        <w:rPr>
          <w:rFonts w:ascii="Times New Roman" w:eastAsia="Times New Roman" w:hAnsi="Times New Roman" w:cs="Times New Roman"/>
          <w:color w:val="auto"/>
          <w:sz w:val="28"/>
          <w:szCs w:val="28"/>
          <w:lang w:bidi="ar-SA"/>
        </w:rPr>
      </w:pPr>
      <w:proofErr w:type="spellStart"/>
      <w:r w:rsidRPr="00E16CB1">
        <w:rPr>
          <w:rFonts w:ascii="Times New Roman" w:eastAsia="Times New Roman" w:hAnsi="Times New Roman" w:cs="Times New Roman"/>
          <w:bCs/>
          <w:color w:val="auto"/>
          <w:sz w:val="28"/>
          <w:szCs w:val="28"/>
          <w:lang w:bidi="ar-SA"/>
        </w:rPr>
        <w:t>Бракеражная</w:t>
      </w:r>
      <w:proofErr w:type="spellEnd"/>
      <w:r w:rsidRPr="00E16CB1">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E16CB1" w:rsidRDefault="00E16CB1" w:rsidP="00E16CB1">
      <w:pPr>
        <w:pStyle w:val="a4"/>
        <w:widowControl/>
        <w:numPr>
          <w:ilvl w:val="1"/>
          <w:numId w:val="7"/>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lastRenderedPageBreak/>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967804" w:rsidRPr="00791F90" w:rsidRDefault="00E16CB1" w:rsidP="00791F90">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791F90" w:rsidRDefault="00ED328E" w:rsidP="00791F90">
      <w:pPr>
        <w:widowControl/>
        <w:spacing w:before="30" w:after="30"/>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4.</w:t>
      </w:r>
      <w:r w:rsidR="00B56AEA" w:rsidRPr="00ED328E">
        <w:rPr>
          <w:rFonts w:ascii="Times New Roman" w:eastAsia="Times New Roman" w:hAnsi="Times New Roman" w:cs="Times New Roman"/>
          <w:b/>
          <w:sz w:val="28"/>
          <w:szCs w:val="28"/>
          <w:lang w:bidi="ar-SA"/>
        </w:rPr>
        <w:t>М</w:t>
      </w:r>
      <w:r w:rsidR="007E200A" w:rsidRPr="00ED328E">
        <w:rPr>
          <w:rFonts w:ascii="Times New Roman" w:eastAsia="Times New Roman" w:hAnsi="Times New Roman" w:cs="Times New Roman"/>
          <w:b/>
          <w:sz w:val="28"/>
          <w:szCs w:val="28"/>
          <w:lang w:bidi="ar-SA"/>
        </w:rPr>
        <w:t>етодика органолептической оценки пищи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w:t>
      </w:r>
      <w:proofErr w:type="gramStart"/>
      <w:r w:rsidRPr="00967804">
        <w:rPr>
          <w:rFonts w:ascii="Times New Roman" w:eastAsia="Times New Roman" w:hAnsi="Times New Roman" w:cs="Times New Roman"/>
          <w:sz w:val="28"/>
          <w:szCs w:val="28"/>
          <w:lang w:bidi="ar-SA"/>
        </w:rPr>
        <w:t>Специфический запах обозначается: селёдочный, чесночный, мятный, ванильный, нефтепродуктов и т.д.</w:t>
      </w:r>
      <w:proofErr w:type="gramEnd"/>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bookmarkStart w:id="1" w:name="_Hlk49375089"/>
      <w:r>
        <w:rPr>
          <w:rFonts w:ascii="Times New Roman" w:eastAsia="Times New Roman" w:hAnsi="Times New Roman" w:cs="Times New Roman"/>
          <w:b/>
          <w:sz w:val="28"/>
          <w:szCs w:val="28"/>
          <w:lang w:bidi="ar-SA"/>
        </w:rPr>
        <w:t>5.</w:t>
      </w:r>
      <w:r w:rsidR="007E200A" w:rsidRPr="00ED328E">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1"/>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проверке </w:t>
      </w:r>
      <w:proofErr w:type="spellStart"/>
      <w:r w:rsidRPr="00967804">
        <w:rPr>
          <w:rFonts w:ascii="Times New Roman" w:eastAsia="Times New Roman" w:hAnsi="Times New Roman" w:cs="Times New Roman"/>
          <w:sz w:val="28"/>
          <w:szCs w:val="28"/>
          <w:lang w:bidi="ar-SA"/>
        </w:rPr>
        <w:t>пюреобразных</w:t>
      </w:r>
      <w:proofErr w:type="spellEnd"/>
      <w:r w:rsidRPr="00967804">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Pr="00967804">
        <w:rPr>
          <w:rFonts w:ascii="Times New Roman" w:eastAsia="Times New Roman" w:hAnsi="Times New Roman" w:cs="Times New Roman"/>
          <w:sz w:val="28"/>
          <w:szCs w:val="28"/>
          <w:lang w:bidi="ar-SA"/>
        </w:rPr>
        <w:t>непротёртых</w:t>
      </w:r>
      <w:proofErr w:type="spellEnd"/>
      <w:r w:rsidRPr="00967804">
        <w:rPr>
          <w:rFonts w:ascii="Times New Roman" w:eastAsia="Times New Roman" w:hAnsi="Times New Roman" w:cs="Times New Roman"/>
          <w:sz w:val="28"/>
          <w:szCs w:val="28"/>
          <w:lang w:bidi="ar-SA"/>
        </w:rPr>
        <w:t xml:space="preserve"> </w:t>
      </w:r>
      <w:r w:rsidRPr="00967804">
        <w:rPr>
          <w:rFonts w:ascii="Times New Roman" w:eastAsia="Times New Roman" w:hAnsi="Times New Roman" w:cs="Times New Roman"/>
          <w:sz w:val="28"/>
          <w:szCs w:val="28"/>
          <w:lang w:bidi="ar-SA"/>
        </w:rPr>
        <w:lastRenderedPageBreak/>
        <w:t>частиц. Суп-пюре должен быть однородным по всей массе, без отслаивания жидкости на его поверхности.</w:t>
      </w:r>
    </w:p>
    <w:p w:rsidR="00967804" w:rsidRP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67804">
        <w:rPr>
          <w:rFonts w:ascii="Times New Roman" w:eastAsia="Times New Roman" w:hAnsi="Times New Roman" w:cs="Times New Roman"/>
          <w:sz w:val="28"/>
          <w:szCs w:val="28"/>
          <w:lang w:bidi="ar-SA"/>
        </w:rPr>
        <w:t>недосолености</w:t>
      </w:r>
      <w:proofErr w:type="spellEnd"/>
      <w:r w:rsidRPr="00967804">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791F90" w:rsidRDefault="007E200A" w:rsidP="00791F90">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Не разрешаются</w:t>
      </w:r>
      <w:r w:rsidR="00B56AEA" w:rsidRPr="00967804">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67804" w:rsidRPr="00791F90" w:rsidRDefault="00ED328E" w:rsidP="00791F90">
      <w:pPr>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6.</w:t>
      </w:r>
      <w:r w:rsidR="007E200A" w:rsidRPr="00ED328E">
        <w:rPr>
          <w:rFonts w:ascii="Times New Roman" w:eastAsia="Times New Roman" w:hAnsi="Times New Roman" w:cs="Times New Roman"/>
          <w:b/>
          <w:sz w:val="28"/>
          <w:szCs w:val="28"/>
          <w:lang w:bidi="ar-SA"/>
        </w:rPr>
        <w:t>Органолептическая оценка вторых блюд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967804">
        <w:rPr>
          <w:rFonts w:ascii="Times New Roman" w:eastAsia="Times New Roman" w:hAnsi="Times New Roman" w:cs="Times New Roman"/>
          <w:sz w:val="28"/>
          <w:szCs w:val="28"/>
          <w:lang w:bidi="ar-SA"/>
        </w:rPr>
        <w:t>недовложение</w:t>
      </w:r>
      <w:proofErr w:type="spellEnd"/>
      <w:r w:rsidRPr="00967804">
        <w:rPr>
          <w:rFonts w:ascii="Times New Roman" w:eastAsia="Times New Roman" w:hAnsi="Times New Roman" w:cs="Times New Roman"/>
          <w:sz w:val="28"/>
          <w:szCs w:val="28"/>
          <w:lang w:bidi="ar-SA"/>
        </w:rPr>
        <w:t>.</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lastRenderedPageBreak/>
        <w:t>7.</w:t>
      </w:r>
      <w:r w:rsidR="00967804" w:rsidRPr="00967804">
        <w:rPr>
          <w:rFonts w:ascii="Times New Roman" w:eastAsia="Times New Roman" w:hAnsi="Times New Roman" w:cs="Times New Roman"/>
          <w:b/>
          <w:sz w:val="28"/>
          <w:szCs w:val="28"/>
          <w:lang w:bidi="ar-SA"/>
        </w:rPr>
        <w:t>Деятельность комиссии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3E305C" w:rsidRPr="00791F90" w:rsidRDefault="00967804" w:rsidP="003E305C">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8.</w:t>
      </w:r>
      <w:r w:rsidR="00967804" w:rsidRPr="00967804">
        <w:rPr>
          <w:rFonts w:ascii="Times New Roman" w:eastAsia="Times New Roman" w:hAnsi="Times New Roman" w:cs="Times New Roman"/>
          <w:b/>
          <w:sz w:val="28"/>
          <w:szCs w:val="28"/>
          <w:lang w:bidi="ar-SA"/>
        </w:rPr>
        <w:t>Заключительные положения</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работают на добровольной основе.</w:t>
      </w:r>
    </w:p>
    <w:p w:rsidR="00967804" w:rsidRP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791F90" w:rsidRDefault="00791F90" w:rsidP="007E200A">
      <w:pPr>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w:t>
      </w:r>
      <w:proofErr w:type="gramStart"/>
      <w:r w:rsidRPr="007E200A">
        <w:rPr>
          <w:rFonts w:ascii="Times New Roman" w:hAnsi="Times New Roman" w:cs="Times New Roman"/>
          <w:sz w:val="22"/>
          <w:szCs w:val="22"/>
        </w:rPr>
        <w:t>2</w:t>
      </w:r>
      <w:proofErr w:type="gramEnd"/>
      <w:r w:rsidRPr="007E200A">
        <w:rPr>
          <w:rFonts w:ascii="Times New Roman" w:hAnsi="Times New Roman" w:cs="Times New Roman"/>
          <w:sz w:val="22"/>
          <w:szCs w:val="22"/>
        </w:rPr>
        <w:t>.4.5.2409-08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Pr="003E305C" w:rsidRDefault="003E305C" w:rsidP="003E305C">
      <w:pPr>
        <w:widowControl/>
        <w:jc w:val="right"/>
        <w:rPr>
          <w:rFonts w:ascii="Times New Roman" w:eastAsia="Times New Roman" w:hAnsi="Times New Roman" w:cs="Times New Roman"/>
          <w:b/>
          <w:color w:val="auto"/>
          <w:lang w:bidi="ar-SA"/>
        </w:rPr>
      </w:pPr>
      <w:bookmarkStart w:id="2" w:name="_Hlk49453914"/>
      <w:r w:rsidRPr="003E305C">
        <w:rPr>
          <w:rFonts w:ascii="Times New Roman" w:eastAsia="Times New Roman" w:hAnsi="Times New Roman" w:cs="Times New Roman"/>
          <w:b/>
          <w:color w:val="auto"/>
          <w:lang w:bidi="ar-SA"/>
        </w:rPr>
        <w:t>Приложение №1</w:t>
      </w:r>
    </w:p>
    <w:bookmarkEnd w:id="2"/>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FF0000"/>
          <w:lang w:eastAsia="en-US" w:bidi="ar-SA"/>
        </w:rPr>
        <w:br/>
      </w: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Pr="003E305C" w:rsidRDefault="003E305C" w:rsidP="00D96D60">
      <w:pPr>
        <w:widowControl/>
        <w:autoSpaceDE w:val="0"/>
        <w:autoSpaceDN w:val="0"/>
        <w:adjustRightInd w:val="0"/>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tbl>
      <w:tblPr>
        <w:tblW w:w="10632" w:type="dxa"/>
        <w:tblInd w:w="12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17"/>
        <w:gridCol w:w="2115"/>
      </w:tblGrid>
      <w:tr w:rsidR="003E305C" w:rsidRPr="003E305C" w:rsidTr="005663B7">
        <w:trPr>
          <w:tblHeader/>
        </w:trPr>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Что взвешивают</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В каком количестве</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Штучные полуфабрикаты, кулинарные, кондитерские и булочные изделия</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Блюда:</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мяса, мяса птицы, рыбы, кролика, дичи с гарнирами 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картофеля, овощей, грибов и бобовых;</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круп и макаронных изделий с жиром, сметаной или соусом;</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яиц, творога со сметаной или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мучные с жиром, сметаной и иными продуктами.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А также:</w:t>
            </w:r>
            <w:r w:rsidR="00D96D60">
              <w:rPr>
                <w:rFonts w:ascii="Times New Roman" w:eastAsia="Calibri" w:hAnsi="Times New Roman" w:cs="Times New Roman"/>
                <w:color w:val="auto"/>
                <w:lang w:eastAsia="en-US" w:bidi="ar-SA"/>
              </w:rPr>
              <w:t xml:space="preserve">      </w:t>
            </w:r>
            <w:r w:rsidRPr="003E305C">
              <w:rPr>
                <w:rFonts w:ascii="Times New Roman" w:eastAsia="Calibri" w:hAnsi="Times New Roman" w:cs="Times New Roman"/>
                <w:color w:val="auto"/>
                <w:lang w:eastAsia="en-US" w:bidi="ar-SA"/>
              </w:rPr>
              <w:t>– холодные и горячие закуски;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супы без мяса, мяса птицы, рыбы;</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десерты, сладкие блюда с сахаром, сиропом, соусом или иными 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Сливочное масло, сметана, соусы</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10–20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Голубцы, кабачки, помидоры, баклажаны и другие фаршированные овощи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Супы с мясом, мясом птицы, рыбой, морепродуктами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10 порций </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супы с фруктами, гарнирами и сметаной</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Бутерброды, гамбургеры, чизбургеры, сэндвичи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3E305C">
              <w:rPr>
                <w:rFonts w:ascii="Times New Roman" w:eastAsia="Times New Roman" w:hAnsi="Times New Roman" w:cs="Times New Roman"/>
                <w:color w:val="auto"/>
                <w:lang w:eastAsia="en-US" w:bidi="ar-SA"/>
              </w:rPr>
              <w:t>порционируемые</w:t>
            </w:r>
            <w:proofErr w:type="spellEnd"/>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 или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Горячие и холодные напитки собственного производства, соки свежевыжатые</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Коктейли собственного производства</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 </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bl>
    <w:p w:rsidR="003E305C" w:rsidRPr="003E305C" w:rsidRDefault="003E305C" w:rsidP="005663B7">
      <w:pPr>
        <w:widowControl/>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tbl>
      <w:tblPr>
        <w:tblW w:w="10420"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4"/>
        <w:gridCol w:w="2372"/>
        <w:gridCol w:w="3654"/>
      </w:tblGrid>
      <w:tr w:rsidR="003E305C" w:rsidRPr="003E305C" w:rsidTr="00D96D60">
        <w:trPr>
          <w:trHeight w:val="72"/>
          <w:jc w:val="center"/>
        </w:trPr>
        <w:tc>
          <w:tcPr>
            <w:tcW w:w="4394" w:type="dxa"/>
            <w:vMerge w:val="restart"/>
            <w:tcBorders>
              <w:bottom w:val="single" w:sz="4" w:space="0" w:color="auto"/>
            </w:tcBorders>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 xml:space="preserve">Масса кулинарных полуфабрикатов и изделий, блюд, напитков, </w:t>
            </w:r>
            <w:proofErr w:type="gramStart"/>
            <w:r w:rsidRPr="003E305C">
              <w:rPr>
                <w:rFonts w:ascii="Times New Roman" w:eastAsia="Calibri" w:hAnsi="Times New Roman" w:cs="Times New Roman"/>
                <w:b/>
                <w:color w:val="auto"/>
                <w:lang w:eastAsia="en-US" w:bidi="ar-SA"/>
              </w:rPr>
              <w:t>г</w:t>
            </w:r>
            <w:proofErr w:type="gramEnd"/>
            <w:r w:rsidRPr="003E305C">
              <w:rPr>
                <w:rFonts w:ascii="Times New Roman" w:eastAsia="Calibri" w:hAnsi="Times New Roman" w:cs="Times New Roman"/>
                <w:b/>
                <w:color w:val="auto"/>
                <w:lang w:eastAsia="en-US" w:bidi="ar-SA"/>
              </w:rPr>
              <w:t xml:space="preserve"> или мл</w:t>
            </w:r>
          </w:p>
        </w:tc>
        <w:tc>
          <w:tcPr>
            <w:tcW w:w="6026" w:type="dxa"/>
            <w:gridSpan w:val="2"/>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3E305C" w:rsidRPr="003E305C" w:rsidTr="00D96D60">
        <w:trPr>
          <w:trHeight w:val="150"/>
          <w:jc w:val="center"/>
        </w:trPr>
        <w:tc>
          <w:tcPr>
            <w:tcW w:w="4394" w:type="dxa"/>
            <w:vMerge/>
            <w:tcBorders>
              <w:bottom w:val="single" w:sz="4" w:space="0" w:color="auto"/>
            </w:tcBorders>
          </w:tcPr>
          <w:p w:rsidR="003E305C" w:rsidRPr="003E305C" w:rsidRDefault="003E305C" w:rsidP="003E305C">
            <w:pPr>
              <w:widowControl/>
              <w:rPr>
                <w:rFonts w:ascii="Times New Roman" w:eastAsia="Calibri" w:hAnsi="Times New Roman" w:cs="Times New Roman"/>
                <w:b/>
                <w:color w:val="auto"/>
                <w:lang w:eastAsia="en-US" w:bidi="ar-SA"/>
              </w:rPr>
            </w:pPr>
          </w:p>
        </w:tc>
        <w:tc>
          <w:tcPr>
            <w:tcW w:w="2372"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3654"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3E305C" w:rsidRPr="003E305C" w:rsidTr="00791F90">
        <w:trPr>
          <w:trHeight w:val="117"/>
          <w:jc w:val="center"/>
        </w:trPr>
        <w:tc>
          <w:tcPr>
            <w:tcW w:w="4394" w:type="dxa"/>
            <w:tcBorders>
              <w:top w:val="single" w:sz="4" w:space="0" w:color="auto"/>
            </w:tcBorders>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 до 50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 – 100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r>
      <w:tr w:rsidR="003E305C" w:rsidRPr="003E305C" w:rsidTr="00791F90">
        <w:trPr>
          <w:trHeight w:val="132"/>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100 – 200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200 – 300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300 – 500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3</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lastRenderedPageBreak/>
              <w:t xml:space="preserve">Св. 500 – 1000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15</w:t>
            </w:r>
          </w:p>
        </w:tc>
      </w:tr>
    </w:tbl>
    <w:p w:rsidR="003E305C" w:rsidRDefault="003E305C" w:rsidP="00D96D60">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Приложение №</w:t>
      </w:r>
      <w:r>
        <w:rPr>
          <w:rFonts w:ascii="Times New Roman" w:eastAsia="Times New Roman" w:hAnsi="Times New Roman" w:cs="Times New Roman"/>
          <w:b/>
          <w:color w:val="auto"/>
          <w:lang w:bidi="ar-SA"/>
        </w:rPr>
        <w:t>2</w:t>
      </w:r>
    </w:p>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auto"/>
          <w:lang w:eastAsia="en-US" w:bidi="ar-SA"/>
        </w:rPr>
        <w:br/>
      </w: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трех ложек – жидкой продукции. </w:t>
      </w:r>
      <w:r w:rsidRPr="003E305C">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3E305C">
        <w:rPr>
          <w:rFonts w:ascii="Times New Roman" w:eastAsia="Calibri" w:hAnsi="Times New Roman" w:cs="Times New Roman"/>
          <w:bCs/>
          <w:color w:val="auto"/>
          <w:lang w:eastAsia="en-US" w:bidi="ar-SA"/>
        </w:rPr>
        <w:t>;</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одного изделия или блюда – продукция плотной </w:t>
      </w:r>
      <w:r w:rsidRPr="003E305C">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3E305C">
        <w:rPr>
          <w:rFonts w:ascii="Times New Roman" w:eastAsia="Calibri" w:hAnsi="Times New Roman" w:cs="Times New Roman"/>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w:t>
      </w:r>
      <w:r w:rsidRPr="003E305C">
        <w:rPr>
          <w:rFonts w:ascii="Times New Roman" w:eastAsia="Calibri" w:hAnsi="Times New Roman" w:cs="Times New Roman"/>
          <w:color w:val="auto"/>
          <w:shd w:val="clear" w:color="auto" w:fill="FFFFFF"/>
          <w:lang w:eastAsia="en-US" w:bidi="ar-SA"/>
        </w:rPr>
        <w:t>белый хлеб, сухое пресное печенье, молотый кофе или негазированную питьевую воду).</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shd w:val="clear" w:color="auto" w:fill="FFFFFF"/>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w:t>
      </w:r>
      <w:r w:rsidRPr="003E305C">
        <w:rPr>
          <w:rFonts w:ascii="Times New Roman" w:eastAsia="Calibri" w:hAnsi="Times New Roman" w:cs="Times New Roman"/>
          <w:color w:val="auto"/>
          <w:lang w:eastAsia="en-US" w:bidi="ar-SA"/>
        </w:rPr>
        <w:t xml:space="preserve">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w:t>
      </w:r>
      <w:proofErr w:type="gramStart"/>
      <w:r w:rsidRPr="003E305C">
        <w:rPr>
          <w:rFonts w:ascii="Times New Roman" w:eastAsia="Calibri" w:hAnsi="Times New Roman" w:cs="Times New Roman"/>
          <w:color w:val="auto"/>
          <w:lang w:eastAsia="en-US" w:bidi="ar-SA"/>
        </w:rPr>
        <w:t xml:space="preserve"> Б</w:t>
      </w:r>
      <w:proofErr w:type="gramEnd"/>
      <w:r w:rsidRPr="003E305C">
        <w:rPr>
          <w:rFonts w:ascii="Times New Roman" w:eastAsia="Calibri" w:hAnsi="Times New Roman" w:cs="Times New Roman"/>
          <w:color w:val="auto"/>
          <w:lang w:eastAsia="en-US" w:bidi="ar-SA"/>
        </w:rPr>
        <w:t xml:space="preserve"> к </w:t>
      </w:r>
      <w:r w:rsidRPr="003E305C">
        <w:rPr>
          <w:rFonts w:ascii="Times New Roman" w:eastAsia="Calibri" w:hAnsi="Times New Roman" w:cs="Times New Roman"/>
          <w:color w:val="auto"/>
          <w:shd w:val="clear" w:color="auto" w:fill="FFFFFF"/>
          <w:lang w:eastAsia="en-US" w:bidi="ar-SA"/>
        </w:rPr>
        <w:t>ГОСТ 31986-2012</w:t>
      </w:r>
      <w:r w:rsidRPr="003E305C">
        <w:rPr>
          <w:rFonts w:ascii="Times New Roman" w:eastAsia="Calibri" w:hAnsi="Times New Roman" w:cs="Times New Roman"/>
          <w:color w:val="auto"/>
          <w:lang w:eastAsia="en-US" w:bidi="ar-SA"/>
        </w:rPr>
        <w:t>.</w:t>
      </w:r>
    </w:p>
    <w:p w:rsidR="003E305C" w:rsidRPr="00D96D60" w:rsidRDefault="003E305C" w:rsidP="003E305C">
      <w:pPr>
        <w:widowControl/>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tbl>
      <w:tblPr>
        <w:tblW w:w="10478"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2268"/>
        <w:gridCol w:w="8210"/>
      </w:tblGrid>
      <w:tr w:rsidR="003E305C" w:rsidRPr="003E305C" w:rsidTr="00D96D60">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Продукция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Полуфабрикаты, изделия и блюда из рыбы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Холодные блюда, полуфабрикаты салатов и закусок</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кулинарные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3E305C" w:rsidRPr="003E305C" w:rsidRDefault="003E305C" w:rsidP="003E305C">
      <w:pPr>
        <w:widowControl/>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05"/>
        <w:gridCol w:w="1701"/>
      </w:tblGrid>
      <w:tr w:rsidR="003E305C" w:rsidRPr="003E305C" w:rsidTr="003E305C">
        <w:trPr>
          <w:tblHeader/>
        </w:trPr>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jc w:val="center"/>
              <w:rPr>
                <w:rFonts w:ascii="Times New Roman" w:eastAsia="Times New Roman" w:hAnsi="Times New Roman" w:cs="Times New Roman"/>
                <w:b/>
                <w:color w:val="auto"/>
                <w:lang w:eastAsia="en-US" w:bidi="ar-SA"/>
              </w:rPr>
            </w:pPr>
            <w:r w:rsidRPr="00791F90">
              <w:rPr>
                <w:rFonts w:ascii="Times New Roman" w:eastAsia="Times New Roman" w:hAnsi="Times New Roman" w:cs="Times New Roman"/>
                <w:b/>
                <w:color w:val="auto"/>
                <w:sz w:val="22"/>
                <w:lang w:eastAsia="en-US" w:bidi="ar-SA"/>
              </w:rPr>
              <w:t>Балл и оценка</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Не имеет недостатков. Органолептические показатели соответствуют требованиям нормативных и технических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5 баллов (отлично)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соленый вкус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4 балла (хорошо)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недостатки, но пригоден для реализации без переработки. В 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 жидкость в салатах; жесткая текстура или консистенция мяса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 (удовлетворительно)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дефекты: присутствуют посторонние привкусы или запахи; 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rPr>
                <w:rFonts w:ascii="Times New Roman" w:eastAsia="Times New Roman" w:hAnsi="Times New Roman" w:cs="Times New Roman"/>
                <w:color w:val="auto"/>
                <w:lang w:eastAsia="en-US" w:bidi="ar-SA"/>
              </w:rPr>
            </w:pPr>
            <w:r w:rsidRPr="00791F90">
              <w:rPr>
                <w:rFonts w:ascii="Times New Roman" w:eastAsia="Times New Roman" w:hAnsi="Times New Roman" w:cs="Times New Roman"/>
                <w:color w:val="auto"/>
                <w:sz w:val="22"/>
                <w:lang w:eastAsia="en-US" w:bidi="ar-SA"/>
              </w:rPr>
              <w:t>2 балла (неудовлетворительно)</w:t>
            </w:r>
          </w:p>
        </w:tc>
      </w:tr>
    </w:tbl>
    <w:p w:rsidR="003E305C" w:rsidRPr="003E305C" w:rsidRDefault="003E305C" w:rsidP="00791F90">
      <w:pPr>
        <w:jc w:val="both"/>
        <w:rPr>
          <w:rFonts w:ascii="Times New Roman" w:hAnsi="Times New Roman" w:cs="Times New Roman"/>
        </w:rPr>
      </w:pPr>
    </w:p>
    <w:sectPr w:rsidR="003E305C" w:rsidRPr="003E305C" w:rsidSect="00D96D6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B56AEA"/>
    <w:rsid w:val="00086B7C"/>
    <w:rsid w:val="0012054B"/>
    <w:rsid w:val="003E305C"/>
    <w:rsid w:val="00407303"/>
    <w:rsid w:val="004931C6"/>
    <w:rsid w:val="004F2235"/>
    <w:rsid w:val="005663B7"/>
    <w:rsid w:val="00633066"/>
    <w:rsid w:val="006447DA"/>
    <w:rsid w:val="006D39FD"/>
    <w:rsid w:val="00791F90"/>
    <w:rsid w:val="007E200A"/>
    <w:rsid w:val="00967804"/>
    <w:rsid w:val="009A603C"/>
    <w:rsid w:val="00A37625"/>
    <w:rsid w:val="00B56AEA"/>
    <w:rsid w:val="00D96D60"/>
    <w:rsid w:val="00E05179"/>
    <w:rsid w:val="00E16CB1"/>
    <w:rsid w:val="00ED328E"/>
    <w:rsid w:val="00F047BC"/>
    <w:rsid w:val="00F1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 Spacing"/>
    <w:uiPriority w:val="1"/>
    <w:qFormat/>
    <w:rsid w:val="00D96D6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2960</Words>
  <Characters>16875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2020-09-08T13:38:00Z</cp:lastPrinted>
  <dcterms:created xsi:type="dcterms:W3CDTF">2020-09-08T13:41:00Z</dcterms:created>
  <dcterms:modified xsi:type="dcterms:W3CDTF">2020-11-23T07:10:00Z</dcterms:modified>
</cp:coreProperties>
</file>